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SBK 2025 82 vom 9. Oktober 2025</w:t>
      </w:r>
    </w:p>
    <w:p>
      <w:r>
        <w:t>GR Gerichte, 2025-10-09, DE</w:t>
      </w:r>
    </w:p>
    <w:p>
      <w:r>
        <w:rPr>
          <w:b/>
        </w:rPr>
        <w:t xml:space="preserve">Quelle: </w:t>
      </w:r>
      <w:r>
        <w:t>https://mcp.opencaselaw.ch/entscheid/gr_gerichte_SBK 2025 82</w:t>
      </w:r>
    </w:p>
    <w:p>
      <w:r>
        <w:t>FR: GR_GERICHTE SBK 2025 82 du 9 octobre 2025</w:t>
      </w:r>
    </w:p>
    <w:p>
      <w:r>
        <w:t>IT: GR_GERICHTE SBK 2025 82 del 9 ottobre 2025</w:t>
      </w:r>
    </w:p>
    <w:p>
      <w:pPr>
        <w:pStyle w:val="Heading2"/>
      </w:pPr>
      <w:r>
        <w:t>Regeste</w:t>
      </w:r>
    </w:p>
    <w:p>
      <w:r>
        <w:t>Pfändung | Aufsicht Beschwerde (SchKG 17 Abs. 1)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/ 4 In Erwägung, – dass gegen Verfügungen von Betreibungsämtern, gegen die keine gerichtliche Klage vorgesehen ist, gemäss Art. 17 Abs. 1 SchKG bei der Aufsichtsbehörde wegen Gesetzesverletzung oder Unangemessenheit Beschwerde geführt werden kann, – dass gemäss kantonalem Recht das Obergericht einzige kantonale Aufsichtsbehörde und zugleich Beschwerdeinstanz gemäss Art. 17 Abs. 1 SchKG (Art. 13 SchKG i.V.m. Art. 13 EGzSchKG [BR 220.000]) ist, – dass innerhalb des Obergerichts die Schuldbetreibungs- und Konkurskammer (Art. 11 Abs. 1 OGV [BR 173.010]) zuständig ist, – dass eine Beschwerde gemäss Art. 17 Abs. 1 EGzSchKG schriftlich einzureichen ist, – dass sie folglich vom Beschwerdeführer eigenhändig zu unterzeichnen ist, – dass beim Obergericht des Kantons Graubünden am 23. September 2025 eine Beschwerdeschrift vom 20. September 2025 (Poststempel 22. September 2025) einging, auf welcher A.________ als Absender aufgeführt war, – dass in dieser Eingabe mehrere Anträge betreffend eines beim Betreibungs- und Konkursamts der Region Maloja gegen A.________ laufenden Betreibungsverfahrens gestellt wurden, – dass die Eingabe nicht unterzeichnet war, – dass auch nicht festgehalten wurde, gegen welche betreibungsamtliche Verfügung sich diese Beschwerde konkret richtet, – dass auch kein Anfechtungsobjekt beigelegt wurde, aus welchem ersichtlich gewesen wäre, gegen welche betreibungsamtliche Handlung sich die Beschwerde richtet, – dass A.________ vom Vorsitzenden der Schuldbetreibungs- und Konkurskammer des Obergerichts mit Schreiben vom 23. September 2025 auf diesen Mangel hingewiesen wurde und er aufgefordert wurde, die Unterzeichnung innert der Beschwerdefrist nachzuholen, andernfalls nicht darauf eingetreten werde,</w:t>
      </w:r>
    </w:p>
    <w:p>
      <w:r>
        <w:rPr>
          <w:b/>
        </w:rPr>
        <w:t>E. 3</w:t>
      </w:r>
    </w:p>
    <w:p>
      <w:r>
        <w:t>/ 4 – dass keine weitere Eingabe mehr erfolgte, – dass folglich auf die Eingabe nicht eingetreten wird, – dass dieser Entscheid in Anwendung von Art. 38 Abs. 3 GOG (BR 173.000) in einzelrichterlicher Kompetenz ergeht, – dass die Kosten des Beschwerdeverfahrens beim Kanton Graubünden verbleiben (Art. 61 Abs. 2 lit. a GebVSchKG),</w:t>
      </w:r>
    </w:p>
    <w:p>
      <w:r>
        <w:rPr>
          <w:b/>
        </w:rPr>
        <w:t>E. 4</w:t>
      </w:r>
    </w:p>
    <w:p>
      <w:r>
        <w:t>/ 4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